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0F172A"/>
          <w:sz w:val="32"/>
          <w:szCs w:val="32"/>
        </w:rPr>
        <w:t xml:space="preserve">采购预算预审规则</w:t>
      </w:r>
    </w:p>
    <w:p>
      <w:pPr>
        <w:spacing w:after="16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19"/>
          <w:szCs w:val="19"/>
        </w:rPr>
        <w:t xml:space="preserve">用于采购预算预审 Flow 的规则资料。规则用于生成依据和人工确认项，不替代正式审批制度。</w:t>
      </w:r>
    </w:p>
    <w:p>
      <w:pPr>
        <w:spacing w:after="100" w:before="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3"/>
          <w:szCs w:val="23"/>
        </w:rPr>
        <w:t xml:space="preserve">1. 资料内容</w:t>
      </w:r>
    </w:p>
    <w:tbl>
      <w:tblPr>
        <w:tblW w:type="dxa" w:w="10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400"/>
      </w:tblGrid>
      <w:tr>
        <w:trPr>
          <w:tblHeader/>
        </w:trP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规则场景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处理要求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字段缺失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缺金额、项目、科目、供应商、品类、数量、报价单或关键附件时，列缺失项，不给最终通过建议。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预算不足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本单金额超过可用预算时，应列明差额，并要求预算例外确认。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价格异常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本次报价高于最近 6 个月同规格均价 10% 以上时，应要求补充比价说明或议价记录。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供应商中风险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准入有效但风险等级为中时，可继续预审，但必须提示复核交付保障措施。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供应商高风险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风险等级高、黑名单命中或准入无效时，必须转人工复核。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越权请求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用户要求自动审批、付款、定标、改预算或对外承诺价格时，必须拒绝。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3"/>
          <w:szCs w:val="23"/>
        </w:rPr>
        <w:t xml:space="preserve">使用提醒</w:t>
      </w:r>
    </w:p>
    <w:p>
      <w:pPr>
        <w:spacing w:after="8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18"/>
          <w:szCs w:val="18"/>
        </w:rPr>
        <w:t xml:space="preserve">1. AI 只能生成预审建议、依据、风险点、补件项和草稿。</w:t>
      </w:r>
    </w:p>
    <w:p>
      <w:pPr>
        <w:spacing w:after="8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18"/>
          <w:szCs w:val="18"/>
        </w:rPr>
        <w:t xml:space="preserve">2. 最终采购立项审批、定标、合同签署、预算例外和付款均由人工或正式审批流程确认。</w:t>
      </w:r>
    </w:p>
    <w:p>
      <w:pPr>
        <w:spacing w:after="8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18"/>
          <w:szCs w:val="18"/>
        </w:rPr>
        <w:t xml:space="preserve">3. 依据不足时应说明缺少资料，不得凭经验补结论。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第 </w:t>
    </w:r>
    <w:r>
      <w:rPr>
        <w:rFonts w:ascii="Microsoft YaHei" w:cs="Microsoft YaHei" w:eastAsia="Microsoft YaHei" w:hAnsi="Microsoft YaHei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采购预算预审规则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120"/>
      <w:outlineLvl w:val="0"/>
    </w:pPr>
    <w:rPr>
      <w:rFonts w:ascii="Microsoft YaHei" w:cs="Microsoft YaHei" w:eastAsia="Microsoft YaHei" w:hAnsi="Microsoft YaHei"/>
      <w:b/>
      <w:bCs/>
      <w:color w:val="0F172A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2026-06-19T15:21:25.898Z</dcterms:created>
  <dcterms:modified xsi:type="dcterms:W3CDTF">2026-06-19T15:21:25.898Z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