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</w:pPr>
      <w:r>
        <w:rPr>
          <w:rFonts w:ascii="Microsoft YaHei" w:cs="Microsoft YaHei" w:eastAsia="Microsoft YaHei" w:hAnsi="Microsoft YaHei"/>
          <w:b/>
          <w:bCs/>
          <w:color w:val="0F172A"/>
          <w:sz w:val="32"/>
          <w:szCs w:val="32"/>
        </w:rPr>
        <w:t xml:space="preserve">MOQ 与补货批量规则</w:t>
      </w:r>
    </w:p>
    <w:p>
      <w:pPr>
        <w:spacing w:after="160" w:before="0" w:line="280"/>
      </w:pPr>
      <w:r>
        <w:rPr>
          <w:rFonts w:ascii="Microsoft YaHei" w:cs="Microsoft YaHei" w:eastAsia="Microsoft YaHei" w:hAnsi="Microsoft YaHei"/>
          <w:b w:val="false"/>
          <w:bCs w:val="false"/>
          <w:color w:val="334155"/>
          <w:sz w:val="19"/>
          <w:szCs w:val="19"/>
        </w:rPr>
        <w:t xml:space="preserve">用于安全库存知识库演练的候选资料之一，帮助现场判断补货约束类规则是否适合沉淀为知识依据。</w:t>
      </w:r>
    </w:p>
    <w:p>
      <w:pPr>
        <w:spacing w:after="100" w:before="80" w:line="280"/>
      </w:pPr>
      <w:r>
        <w:rPr>
          <w:rFonts w:ascii="Microsoft YaHei" w:cs="Microsoft YaHei" w:eastAsia="Microsoft YaHei" w:hAnsi="Microsoft YaHei"/>
          <w:b/>
          <w:bCs/>
          <w:color w:val="1E3A5F"/>
          <w:sz w:val="23"/>
          <w:szCs w:val="23"/>
        </w:rPr>
        <w:t xml:space="preserve">1. 资料内容</w:t>
      </w:r>
    </w:p>
    <w:tbl>
      <w:tblPr>
        <w:tblW w:type="dxa" w:w="104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7400"/>
      </w:tblGrid>
      <w:tr>
        <w:trPr>
          <w:tblHeader/>
        </w:trPr>
        <w:tc>
          <w:tcPr>
            <w:tcW w:type="dxa" w:w="30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1D4ED8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/>
                <w:bCs/>
                <w:color w:val="FFFFFF"/>
                <w:sz w:val="19"/>
                <w:szCs w:val="19"/>
              </w:rPr>
              <w:t xml:space="preserve">规则项</w:t>
            </w:r>
          </w:p>
        </w:tc>
        <w:tc>
          <w:tcPr>
            <w:tcW w:type="dxa" w:w="74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1D4ED8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/>
                <w:bCs/>
                <w:color w:val="FFFFFF"/>
                <w:sz w:val="19"/>
                <w:szCs w:val="19"/>
              </w:rPr>
              <w:t xml:space="preserve">说明</w:t>
            </w:r>
          </w:p>
        </w:tc>
      </w:tr>
      <w:tr>
        <w:tc>
          <w:tcPr>
            <w:tcW w:type="dxa" w:w="30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/>
                <w:bCs/>
                <w:color w:val="0F172A"/>
                <w:sz w:val="18"/>
                <w:szCs w:val="18"/>
              </w:rPr>
              <w:t xml:space="preserve">最小起订量</w:t>
            </w:r>
          </w:p>
        </w:tc>
        <w:tc>
          <w:tcPr>
            <w:tcW w:type="dxa" w:w="74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 w:val="false"/>
                <w:bCs w:val="false"/>
                <w:color w:val="0F172A"/>
                <w:sz w:val="18"/>
                <w:szCs w:val="18"/>
              </w:rPr>
              <w:t xml:space="preserve">单次采购不得低于 MOQ。</w:t>
            </w:r>
          </w:p>
        </w:tc>
      </w:tr>
      <w:tr>
        <w:tc>
          <w:tcPr>
            <w:tcW w:type="dxa" w:w="30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/>
                <w:bCs/>
                <w:color w:val="0F172A"/>
                <w:sz w:val="18"/>
                <w:szCs w:val="18"/>
              </w:rPr>
              <w:t xml:space="preserve">倍数采购</w:t>
            </w:r>
          </w:p>
        </w:tc>
        <w:tc>
          <w:tcPr>
            <w:tcW w:type="dxa" w:w="74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 w:val="false"/>
                <w:bCs w:val="false"/>
                <w:color w:val="0F172A"/>
                <w:sz w:val="18"/>
                <w:szCs w:val="18"/>
              </w:rPr>
              <w:t xml:space="preserve">部分物料必须按整箱、整卷或整托倍数采购。</w:t>
            </w:r>
          </w:p>
        </w:tc>
      </w:tr>
      <w:tr>
        <w:tc>
          <w:tcPr>
            <w:tcW w:type="dxa" w:w="30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/>
                <w:bCs/>
                <w:color w:val="0F172A"/>
                <w:sz w:val="18"/>
                <w:szCs w:val="18"/>
              </w:rPr>
              <w:t xml:space="preserve">补货频率</w:t>
            </w:r>
          </w:p>
        </w:tc>
        <w:tc>
          <w:tcPr>
            <w:tcW w:type="dxa" w:w="74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 w:val="false"/>
                <w:bCs w:val="false"/>
                <w:color w:val="0F172A"/>
                <w:sz w:val="18"/>
                <w:szCs w:val="18"/>
              </w:rPr>
              <w:t xml:space="preserve">高价值或长交期物料通常按周或按批次集中补货。</w:t>
            </w:r>
          </w:p>
        </w:tc>
      </w:tr>
      <w:tr>
        <w:tc>
          <w:tcPr>
            <w:tcW w:type="dxa" w:w="30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/>
                <w:bCs/>
                <w:color w:val="0F172A"/>
                <w:sz w:val="18"/>
                <w:szCs w:val="18"/>
              </w:rPr>
              <w:t xml:space="preserve">例外审批</w:t>
            </w:r>
          </w:p>
        </w:tc>
        <w:tc>
          <w:tcPr>
            <w:tcW w:type="dxa" w:w="74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 w:val="false"/>
                <w:bCs w:val="false"/>
                <w:color w:val="0F172A"/>
                <w:sz w:val="18"/>
                <w:szCs w:val="18"/>
              </w:rPr>
              <w:t xml:space="preserve">若低于 MOQ 仍需采购，应转人工确认例外理由。</w:t>
            </w:r>
          </w:p>
        </w:tc>
      </w:tr>
      <w:tr>
        <w:tc>
          <w:tcPr>
            <w:tcW w:type="dxa" w:w="30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/>
                <w:bCs/>
                <w:color w:val="0F172A"/>
                <w:sz w:val="18"/>
                <w:szCs w:val="18"/>
              </w:rPr>
              <w:t xml:space="preserve">协同要求</w:t>
            </w:r>
          </w:p>
        </w:tc>
        <w:tc>
          <w:tcPr>
            <w:tcW w:type="dxa" w:w="74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 w:val="false"/>
                <w:bCs w:val="false"/>
                <w:color w:val="0F172A"/>
                <w:sz w:val="18"/>
                <w:szCs w:val="18"/>
              </w:rPr>
              <w:t xml:space="preserve">补货建议输出时，应同时提示采购、计划或仓储确认项。</w:t>
            </w:r>
          </w:p>
        </w:tc>
      </w:tr>
    </w:tbl>
    <w:p>
      <w:pPr>
        <w:spacing w:after="100" w:before="180" w:line="280"/>
      </w:pPr>
      <w:r>
        <w:rPr>
          <w:rFonts w:ascii="Microsoft YaHei" w:cs="Microsoft YaHei" w:eastAsia="Microsoft YaHei" w:hAnsi="Microsoft YaHei"/>
          <w:b/>
          <w:bCs/>
          <w:color w:val="1E3A5F"/>
          <w:sz w:val="23"/>
          <w:szCs w:val="23"/>
        </w:rPr>
        <w:t xml:space="preserve">使用提醒</w:t>
      </w:r>
    </w:p>
    <w:p>
      <w:pPr>
        <w:spacing w:after="80" w:before="0" w:line="280"/>
      </w:pPr>
      <w:r>
        <w:rPr>
          <w:rFonts w:ascii="Microsoft YaHei" w:cs="Microsoft YaHei" w:eastAsia="Microsoft YaHei" w:hAnsi="Microsoft YaHei"/>
          <w:b w:val="false"/>
          <w:bCs w:val="false"/>
          <w:color w:val="334155"/>
          <w:sz w:val="18"/>
          <w:szCs w:val="18"/>
        </w:rPr>
        <w:t xml:space="preserve">1. MOQ 规则是判断依据，不是实时数据。</w:t>
      </w:r>
    </w:p>
    <w:p>
      <w:pPr>
        <w:spacing w:after="80" w:before="0" w:line="280"/>
      </w:pPr>
      <w:r>
        <w:rPr>
          <w:rFonts w:ascii="Microsoft YaHei" w:cs="Microsoft YaHei" w:eastAsia="Microsoft YaHei" w:hAnsi="Microsoft YaHei"/>
          <w:b w:val="false"/>
          <w:bCs w:val="false"/>
          <w:color w:val="334155"/>
          <w:sz w:val="18"/>
          <w:szCs w:val="18"/>
        </w:rPr>
        <w:t xml:space="preserve">2. 请自行决定它应归入规则制度还是边界规则。</w:t>
      </w:r>
    </w:p>
    <w:p>
      <w:pPr>
        <w:spacing w:after="80" w:before="0" w:line="280"/>
      </w:pPr>
      <w:r>
        <w:rPr>
          <w:rFonts w:ascii="Microsoft YaHei" w:cs="Microsoft YaHei" w:eastAsia="Microsoft YaHei" w:hAnsi="Microsoft YaHei"/>
          <w:b w:val="false"/>
          <w:bCs w:val="false"/>
          <w:color w:val="334155"/>
          <w:sz w:val="18"/>
          <w:szCs w:val="18"/>
        </w:rPr>
        <w:t xml:space="preserve">3. 如果不同品类 MOQ 口径不同，建议再细分目录。</w:t>
      </w:r>
    </w:p>
    <w:sectPr>
      <w:headerReference w:type="default" r:id="rId7"/>
      <w:footerReference w:type="default" r:id="rId8"/>
      <w:pgSz w:w="11906" w:h="16838" w:orient="portrait"/>
      <w:pgMar w:top="720" w:right="720" w:bottom="720" w:left="72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right"/>
    </w:pPr>
    <w:r>
      <w:rPr>
        <w:rFonts w:ascii="Microsoft YaHei" w:cs="Microsoft YaHei" w:eastAsia="Microsoft YaHei" w:hAnsi="Microsoft YaHei"/>
        <w:b w:val="false"/>
        <w:bCs w:val="false"/>
        <w:color w:val="64748B"/>
        <w:sz w:val="16"/>
        <w:szCs w:val="16"/>
      </w:rPr>
      <w:t xml:space="preserve">第 </w:t>
    </w:r>
    <w:r>
      <w:rPr>
        <w:rFonts w:ascii="Microsoft YaHei" w:cs="Microsoft YaHei" w:eastAsia="Microsoft YaHei" w:hAnsi="Microsoft YaHei"/>
        <w:color w:val="64748B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Microsoft YaHei" w:cs="Microsoft YaHei" w:eastAsia="Microsoft YaHei" w:hAnsi="Microsoft YaHei"/>
        <w:b w:val="false"/>
        <w:bCs w:val="false"/>
        <w:color w:val="64748B"/>
        <w:sz w:val="16"/>
        <w:szCs w:val="16"/>
      </w:rPr>
      <w:t xml:space="preserve"> 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Microsoft YaHei" w:cs="Microsoft YaHei" w:eastAsia="Microsoft YaHei" w:hAnsi="Microsoft YaHei"/>
        <w:b w:val="false"/>
        <w:bCs w:val="false"/>
        <w:color w:val="64748B"/>
        <w:sz w:val="16"/>
        <w:szCs w:val="16"/>
      </w:rPr>
      <w:t xml:space="preserve">安全库存知识库候选资料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icrosoft YaHei" w:cs="Microsoft YaHei" w:eastAsia="Microsoft YaHei" w:hAnsi="Microsoft YaHei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80" w:before="120"/>
      <w:outlineLvl w:val="0"/>
    </w:pPr>
    <w:rPr>
      <w:rFonts w:ascii="Microsoft YaHei" w:cs="Microsoft YaHei" w:eastAsia="Microsoft YaHei" w:hAnsi="Microsoft YaHei"/>
      <w:b/>
      <w:bCs/>
      <w:color w:val="0F172A"/>
      <w:sz w:val="32"/>
      <w:szCs w:val="3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2026-06-19T13:33:43.765Z</dcterms:created>
  <dcterms:modified xsi:type="dcterms:W3CDTF">2026-06-19T13:33:43.765Z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