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Microsoft YaHei" w:cs="Microsoft YaHei" w:eastAsia="Microsoft YaHei" w:hAnsi="Microsoft YaHei"/>
          <w:b/>
          <w:bCs/>
          <w:color w:val="0F172A"/>
          <w:sz w:val="34"/>
          <w:szCs w:val="34"/>
        </w:rPr>
        <w:t xml:space="preserve">AI 智能体需求最小化报告</w:t>
      </w:r>
    </w:p>
    <w:p>
      <w:pPr>
        <w:spacing w:after="180" w:before="0" w:line="280"/>
      </w:pPr>
      <w:r>
        <w:rPr>
          <w:rFonts w:ascii="Microsoft YaHei" w:cs="Microsoft YaHei" w:eastAsia="Microsoft YaHei" w:hAnsi="Microsoft YaHei"/>
          <w:b w:val="false"/>
          <w:bCs w:val="false"/>
          <w:color w:val="334155"/>
          <w:sz w:val="20"/>
          <w:szCs w:val="20"/>
        </w:rPr>
        <w:t xml:space="preserve">用途：以后提交智能体需求时，先按这七格说清楚。它不是方案大纲，而是立项前的最小事实包：先把问题、流程、Agent、Skill、集成和验收讲明白，再进入搭建。</w:t>
      </w:r>
    </w:p>
    <w:tbl>
      <w:tblPr>
        <w:tblW w:type="dxa" w:w="15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100"/>
        <w:gridCol w:w="7400"/>
      </w:tblGrid>
      <w:tr>
        <w:trPr>
          <w:tblHeader/>
        </w:trP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D4E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七格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D4E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填写提示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1D4ED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本组填写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FF6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1D4ED8"/>
                <w:sz w:val="19"/>
                <w:szCs w:val="19"/>
              </w:rPr>
              <w:t xml:space="preserve">业务痛点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0F172A"/>
                <w:sz w:val="19"/>
                <w:szCs w:val="19"/>
              </w:rPr>
              <w:t xml:space="preserve">不要写“效率低”，要写成可观察的业务事实：谁、在哪一步、反复做什么、造成什么影响。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填写：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谁遇到问题：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具体卡点：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可观察影响：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FF6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1D4ED8"/>
                <w:sz w:val="19"/>
                <w:szCs w:val="19"/>
              </w:rPr>
              <w:t xml:space="preserve">现状流程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0F172A"/>
                <w:sz w:val="19"/>
                <w:szCs w:val="19"/>
              </w:rPr>
              <w:t xml:space="preserve">写清谁发起、谁处理、在哪个系统、取什么数据、等谁确认、哪里退回。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填写：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发起人：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处理人：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系统/数据：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退回或等待点：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FF6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1D4ED8"/>
                <w:sz w:val="19"/>
                <w:szCs w:val="19"/>
              </w:rPr>
              <w:t xml:space="preserve">未来流程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0F172A"/>
                <w:sz w:val="19"/>
                <w:szCs w:val="19"/>
              </w:rPr>
              <w:t xml:space="preserve">左边列角色，角色里同时有人和 AI；右边列活动，标清人做什么、AI 做什么。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填写：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人负责：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AI 负责：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人工确认点：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FF6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1D4ED8"/>
                <w:sz w:val="19"/>
                <w:szCs w:val="19"/>
              </w:rPr>
              <w:t xml:space="preserve">标 Agent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0F172A"/>
                <w:sz w:val="19"/>
                <w:szCs w:val="19"/>
              </w:rPr>
              <w:t xml:space="preserve">每一段 AI 连续工作都要说清输入、输出和交付对象。不要把全流程都塞进一个助手。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填写：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Agent 名称：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输入：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输出：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交给谁：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FF6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1D4ED8"/>
                <w:sz w:val="19"/>
                <w:szCs w:val="19"/>
              </w:rPr>
              <w:t xml:space="preserve">标 Skill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0F172A"/>
                <w:sz w:val="19"/>
                <w:szCs w:val="19"/>
              </w:rPr>
              <w:t xml:space="preserve">拆出 Agent 内部可独立执行的小能力，区分可复用能力和一次性逻辑。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填写：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可复用 Skill：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1.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2.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一次性逻辑：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FF6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1D4ED8"/>
                <w:sz w:val="19"/>
                <w:szCs w:val="19"/>
              </w:rPr>
              <w:t xml:space="preserve">集成方式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0F172A"/>
                <w:sz w:val="19"/>
                <w:szCs w:val="19"/>
              </w:rPr>
              <w:t xml:space="preserve">说明它建在哪里：OA 页面、业务系统侧边栏、中心化对话框，还是后台定时执行。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填写：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入口：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触发条件：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上下文带入：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写回/留痕：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FF6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1D4ED8"/>
                <w:sz w:val="19"/>
                <w:szCs w:val="19"/>
              </w:rPr>
              <w:t xml:space="preserve">验收标准</w:t>
            </w:r>
          </w:p>
        </w:tc>
        <w:tc>
          <w:tcPr>
            <w:tcW w:type="dxa" w:w="51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0F172A"/>
                <w:sz w:val="19"/>
                <w:szCs w:val="19"/>
              </w:rPr>
              <w:t xml:space="preserve">提前写清准确率、响应时间、人工复核比例和异常处理方式。</w:t>
            </w:r>
          </w:p>
        </w:tc>
        <w:tc>
          <w:tcPr>
            <w:tcW w:type="dxa" w:w="7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填写：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准确率：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响应时间：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转人工规则：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475569"/>
                <w:sz w:val="19"/>
                <w:szCs w:val="19"/>
              </w:rPr>
              <w:t xml:space="preserve">异常样本：</w:t>
            </w:r>
          </w:p>
        </w:tc>
      </w:tr>
    </w:tbl>
    <w:p>
      <w:pPr>
        <w:spacing w:after="100" w:before="180" w:line="280"/>
      </w:pPr>
      <w:r>
        <w:rPr>
          <w:rFonts w:ascii="Microsoft YaHei" w:cs="Microsoft YaHei" w:eastAsia="Microsoft YaHei" w:hAnsi="Microsoft YaHei"/>
          <w:b/>
          <w:bCs/>
          <w:color w:val="1E3A5F"/>
          <w:sz w:val="24"/>
          <w:szCs w:val="24"/>
        </w:rPr>
        <w:t xml:space="preserve">提交要求</w:t>
      </w:r>
    </w:p>
    <w:tbl>
      <w:tblPr>
        <w:tblW w:type="dxa" w:w="15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0"/>
      </w:tblGrid>
      <w:tr>
        <w:tc>
          <w:tcPr>
            <w:tcW w:type="dxa" w:w="15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7ED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8"/>
                <w:szCs w:val="18"/>
              </w:rPr>
              <w:t xml:space="preserve">1. 每一格都必须落到具体业务事实，不能写空泛愿望。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8"/>
                <w:szCs w:val="18"/>
              </w:rPr>
              <w:t xml:space="preserve">2. 没有现状流程，不进入 Agent 设计。</w:t>
            </w:r>
          </w:p>
          <w:p>
            <w:pPr>
              <w:spacing w:after="8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8"/>
                <w:szCs w:val="18"/>
              </w:rPr>
              <w:t xml:space="preserve">3. 没有验收标准，不进入上线评审。</w:t>
            </w:r>
          </w:p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8"/>
                <w:szCs w:val="18"/>
              </w:rPr>
              <w:t xml:space="preserve">4. 现场演练阶段只用低敏样例和演练知识库，真实接口放到集成阶段设计。</w:t>
            </w:r>
          </w:p>
        </w:tc>
      </w:tr>
    </w:tbl>
    <w:p>
      <w:pPr>
        <w:spacing w:after="100" w:before="180" w:line="280"/>
      </w:pPr>
      <w:r>
        <w:rPr>
          <w:rFonts w:ascii="Microsoft YaHei" w:cs="Microsoft YaHei" w:eastAsia="Microsoft YaHei" w:hAnsi="Microsoft YaHei"/>
          <w:b/>
          <w:bCs/>
          <w:color w:val="0F766E"/>
          <w:sz w:val="24"/>
          <w:szCs w:val="24"/>
        </w:rPr>
        <w:t xml:space="preserve">采购审批示例</w:t>
      </w:r>
    </w:p>
    <w:tbl>
      <w:tblPr>
        <w:tblW w:type="dxa" w:w="15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2500"/>
      </w:tblGrid>
      <w:tr>
        <w:trPr>
          <w:tblHeader/>
        </w:trP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766E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七格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766E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20"/>
                <w:szCs w:val="20"/>
              </w:rPr>
              <w:t xml:space="preserve">采购审批示例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CFD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766E"/>
                <w:sz w:val="19"/>
                <w:szCs w:val="19"/>
              </w:rPr>
              <w:t xml:space="preserve">业务痛点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9"/>
                <w:szCs w:val="19"/>
              </w:rPr>
              <w:t xml:space="preserve">财务每次要登录三个系统查预算，平均 10 分钟，且容易漏看跨期额度。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CFD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766E"/>
                <w:sz w:val="19"/>
                <w:szCs w:val="19"/>
              </w:rPr>
              <w:t xml:space="preserve">现状流程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9"/>
                <w:szCs w:val="19"/>
              </w:rPr>
              <w:t xml:space="preserve">采购经办人在 OA 准备提交采购申请；财务复核处理；到预算系统取可用额度和跨期额度，到采购系统取历史价，到供应商系统取拟选供应商风险；等采购补预算例外和技术验收标准；缺材料或超额度时退回 OA。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CFD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766E"/>
                <w:sz w:val="19"/>
                <w:szCs w:val="19"/>
              </w:rPr>
              <w:t xml:space="preserve">未来流程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9"/>
                <w:szCs w:val="19"/>
              </w:rPr>
              <w:t xml:space="preserve">人：采购员提交和补材料，财务复核，经理审批。AI：读取单据、查样例返回、汇总依据、生成审批意见草稿和补件清单。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CFD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766E"/>
                <w:sz w:val="19"/>
                <w:szCs w:val="19"/>
              </w:rPr>
              <w:t xml:space="preserve">标 Agent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9"/>
                <w:szCs w:val="19"/>
              </w:rPr>
              <w:t xml:space="preserve">采购申请审批支持 Agent：输入采购申请编号、金额、科目、拟选供应商、附件状态和系统返回；输出审批建议、依据、风险和人工确认项；交给财务复核。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CFD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766E"/>
                <w:sz w:val="19"/>
                <w:szCs w:val="19"/>
              </w:rPr>
              <w:t xml:space="preserve">标 Skill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9"/>
                <w:szCs w:val="19"/>
              </w:rPr>
              <w:t xml:space="preserve">可复用：读取采购单、预算校验、历史价比对、供应商风险摘要。一次性逻辑：把本单特殊补件要求整理成 OA 草稿。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CFD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766E"/>
                <w:sz w:val="19"/>
                <w:szCs w:val="19"/>
              </w:rPr>
              <w:t xml:space="preserve">集成方式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9"/>
                <w:szCs w:val="19"/>
              </w:rPr>
              <w:t xml:space="preserve">采购审批优先放在 OA 采购申请页右侧 AI 侧边栏；系统自动带入单据上下文，结果先写回草稿，不自动提交审批。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CFDF5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/>
                <w:bCs/>
                <w:color w:val="0F766E"/>
                <w:sz w:val="19"/>
                <w:szCs w:val="19"/>
              </w:rPr>
              <w:t xml:space="preserve">验收标准</w:t>
            </w:r>
          </w:p>
        </w:tc>
        <w:tc>
          <w:tcPr>
            <w:tcW w:type="dxa" w:w="1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 w:line="28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334155"/>
                <w:sz w:val="19"/>
                <w:szCs w:val="19"/>
              </w:rPr>
              <w:t xml:space="preserve">字段读取准确率 &gt;= 95%；单次响应 &lt; 30 秒；高风险和规则冲突 100% 转人工；预算不足、缺附件、越权请求必须停住并说明原因。</w:t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Microsoft YaHei" w:cs="Microsoft YaHei" w:eastAsia="Microsoft YaHei" w:hAnsi="Microsoft YaHei"/>
        <w:b w:val="false"/>
        <w:bCs w:val="false"/>
        <w:color w:val="64748B"/>
        <w:sz w:val="16"/>
        <w:szCs w:val="16"/>
      </w:rPr>
      <w:t xml:space="preserve">第 </w:t>
    </w:r>
    <w:r>
      <w:rPr>
        <w:rFonts w:ascii="Microsoft YaHei" w:cs="Microsoft YaHei" w:eastAsia="Microsoft YaHei" w:hAnsi="Microsoft YaHei"/>
        <w:color w:val="64748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icrosoft YaHei" w:cs="Microsoft YaHei" w:eastAsia="Microsoft YaHei" w:hAnsi="Microsoft YaHei"/>
        <w:b w:val="false"/>
        <w:bCs w:val="false"/>
        <w:color w:val="64748B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icrosoft YaHei" w:cs="Microsoft YaHei" w:eastAsia="Microsoft YaHei" w:hAnsi="Microsoft YaHei"/>
        <w:b w:val="false"/>
        <w:bCs w:val="false"/>
        <w:color w:val="64748B"/>
        <w:sz w:val="16"/>
        <w:szCs w:val="16"/>
      </w:rPr>
      <w:t xml:space="preserve">企业级智能体工作坊 · 需求最小化模板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120"/>
      <w:outlineLvl w:val="0"/>
    </w:pPr>
    <w:rPr>
      <w:rFonts w:ascii="Microsoft YaHei" w:cs="Microsoft YaHei" w:eastAsia="Microsoft YaHei" w:hAnsi="Microsoft YaHei"/>
      <w:b/>
      <w:bCs/>
      <w:color w:val="0F172A"/>
      <w:sz w:val="34"/>
      <w:szCs w:val="3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2026-06-22T00:04:15.504Z</dcterms:created>
  <dcterms:modified xsi:type="dcterms:W3CDTF">2026-06-22T00:04:15.515Z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